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8CEE" w14:textId="77777777" w:rsidR="00643901" w:rsidRDefault="00643901" w:rsidP="009A1F79">
      <w:pPr>
        <w:pStyle w:val="Heading2"/>
        <w:spacing w:line="240" w:lineRule="auto"/>
      </w:pPr>
      <w:r>
        <w:t>Session 8 Handout</w:t>
      </w:r>
    </w:p>
    <w:p w14:paraId="35A76EA2" w14:textId="3AB2D4D9" w:rsidR="000461A7" w:rsidRPr="001B1228" w:rsidRDefault="001B1228" w:rsidP="009A1F79">
      <w:pPr>
        <w:pStyle w:val="Heading1"/>
        <w:spacing w:after="240" w:line="240" w:lineRule="auto"/>
      </w:pPr>
      <w:r>
        <w:t>E</w:t>
      </w:r>
      <w:r w:rsidRPr="001B1228">
        <w:t xml:space="preserve">ssential </w:t>
      </w:r>
      <w:r w:rsidR="00643901">
        <w:t>F</w:t>
      </w:r>
      <w:r w:rsidRPr="001B1228">
        <w:t xml:space="preserve">unctions </w:t>
      </w:r>
      <w:r w:rsidR="00A726D5">
        <w:t xml:space="preserve">of the DDD App for </w:t>
      </w:r>
      <w:r w:rsidR="00643901">
        <w:t>H</w:t>
      </w:r>
      <w:r w:rsidRPr="001B1228">
        <w:t xml:space="preserve">ub </w:t>
      </w:r>
      <w:r w:rsidR="00643901">
        <w:t>F</w:t>
      </w:r>
      <w:r w:rsidRPr="001B1228">
        <w:t xml:space="preserve">acilities and </w:t>
      </w:r>
      <w:r w:rsidR="00F2652C">
        <w:t>Decentralized Drug Distribution (</w:t>
      </w:r>
      <w:r w:rsidRPr="001B1228">
        <w:t>DDD</w:t>
      </w:r>
      <w:r w:rsidR="00DE48DA">
        <w:t>)</w:t>
      </w:r>
      <w:r w:rsidRPr="001B1228">
        <w:t xml:space="preserve"> </w:t>
      </w:r>
      <w:r w:rsidR="00643901">
        <w:t>O</w:t>
      </w:r>
      <w:r w:rsidRPr="001B1228">
        <w:t>utlets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577F9F" w:themeColor="accent1"/>
          <w:insideV w:val="single" w:sz="4" w:space="0" w:color="577F9F" w:themeColor="accent1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7020"/>
        <w:gridCol w:w="1350"/>
        <w:gridCol w:w="1273"/>
      </w:tblGrid>
      <w:tr w:rsidR="00F3635A" w:rsidRPr="00F3635A" w14:paraId="516C3CBF" w14:textId="77777777" w:rsidTr="00DD2C93">
        <w:trPr>
          <w:trHeight w:val="719"/>
        </w:trPr>
        <w:tc>
          <w:tcPr>
            <w:tcW w:w="7020" w:type="dxa"/>
            <w:tcBorders>
              <w:top w:val="nil"/>
              <w:bottom w:val="single" w:sz="4" w:space="0" w:color="577F9F" w:themeColor="accent1"/>
              <w:right w:val="single" w:sz="4" w:space="0" w:color="415E76" w:themeColor="accent1" w:themeShade="BF"/>
            </w:tcBorders>
            <w:shd w:val="clear" w:color="auto" w:fill="577F9F" w:themeFill="accent1"/>
            <w:vAlign w:val="center"/>
          </w:tcPr>
          <w:p w14:paraId="274BD752" w14:textId="77777777" w:rsidR="001B1228" w:rsidRPr="00F3635A" w:rsidRDefault="001B1228" w:rsidP="00F42C83">
            <w:pPr>
              <w:spacing w:before="120"/>
              <w:ind w:right="29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3635A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Functions</w:t>
            </w:r>
          </w:p>
        </w:tc>
        <w:tc>
          <w:tcPr>
            <w:tcW w:w="1350" w:type="dxa"/>
            <w:tcBorders>
              <w:top w:val="nil"/>
              <w:left w:val="single" w:sz="4" w:space="0" w:color="415E76" w:themeColor="accent1" w:themeShade="BF"/>
              <w:bottom w:val="single" w:sz="4" w:space="0" w:color="577F9F" w:themeColor="accent1"/>
              <w:right w:val="single" w:sz="4" w:space="0" w:color="415E76" w:themeColor="accent1" w:themeShade="BF"/>
            </w:tcBorders>
            <w:shd w:val="clear" w:color="auto" w:fill="577F9F" w:themeFill="accent1"/>
            <w:vAlign w:val="center"/>
          </w:tcPr>
          <w:p w14:paraId="6C332106" w14:textId="6BF7EE56" w:rsidR="001B1228" w:rsidRPr="00F3635A" w:rsidRDefault="001B1228" w:rsidP="00F42C83">
            <w:pPr>
              <w:spacing w:before="120"/>
              <w:ind w:right="29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3635A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 xml:space="preserve">For </w:t>
            </w:r>
            <w:r w:rsidR="00643901" w:rsidRPr="00F3635A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H</w:t>
            </w:r>
            <w:r w:rsidRPr="00F3635A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 xml:space="preserve">ub </w:t>
            </w:r>
            <w:r w:rsidR="00643901" w:rsidRPr="00F3635A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Pr="00F3635A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 xml:space="preserve">acilities </w:t>
            </w:r>
          </w:p>
        </w:tc>
        <w:tc>
          <w:tcPr>
            <w:tcW w:w="1273" w:type="dxa"/>
            <w:tcBorders>
              <w:top w:val="nil"/>
              <w:left w:val="single" w:sz="4" w:space="0" w:color="415E76" w:themeColor="accent1" w:themeShade="BF"/>
              <w:bottom w:val="single" w:sz="4" w:space="0" w:color="577F9F" w:themeColor="accent1"/>
            </w:tcBorders>
            <w:shd w:val="clear" w:color="auto" w:fill="577F9F" w:themeFill="accent1"/>
            <w:vAlign w:val="center"/>
          </w:tcPr>
          <w:p w14:paraId="0086E0D7" w14:textId="2BB17218" w:rsidR="001B1228" w:rsidRPr="00F3635A" w:rsidRDefault="001B1228" w:rsidP="00F42C83">
            <w:pPr>
              <w:spacing w:before="120"/>
              <w:ind w:right="29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3635A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 xml:space="preserve">For DDD </w:t>
            </w:r>
            <w:r w:rsidR="00643901" w:rsidRPr="00F3635A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F3635A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utlets</w:t>
            </w:r>
          </w:p>
        </w:tc>
      </w:tr>
      <w:tr w:rsidR="001B1228" w:rsidRPr="001B1228" w14:paraId="28F5AC8E" w14:textId="77777777" w:rsidTr="00DD2C93">
        <w:tc>
          <w:tcPr>
            <w:tcW w:w="7020" w:type="dxa"/>
            <w:tcBorders>
              <w:top w:val="single" w:sz="4" w:space="0" w:color="577F9F" w:themeColor="accent1"/>
            </w:tcBorders>
            <w:vAlign w:val="center"/>
          </w:tcPr>
          <w:p w14:paraId="40633E69" w14:textId="0A43102B" w:rsidR="001B1228" w:rsidRPr="001B1228" w:rsidRDefault="001B1228" w:rsidP="005B06CD">
            <w:pPr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Register participating DDD outlets</w:t>
            </w:r>
          </w:p>
        </w:tc>
        <w:tc>
          <w:tcPr>
            <w:tcW w:w="1350" w:type="dxa"/>
            <w:tcBorders>
              <w:top w:val="single" w:sz="4" w:space="0" w:color="577F9F" w:themeColor="accent1"/>
            </w:tcBorders>
            <w:shd w:val="clear" w:color="auto" w:fill="BACBD9" w:themeFill="accent1" w:themeFillTint="66"/>
            <w:vAlign w:val="center"/>
          </w:tcPr>
          <w:p w14:paraId="3A5E0AFA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73" w:type="dxa"/>
            <w:tcBorders>
              <w:top w:val="single" w:sz="4" w:space="0" w:color="577F9F" w:themeColor="accent1"/>
            </w:tcBorders>
            <w:vAlign w:val="center"/>
          </w:tcPr>
          <w:p w14:paraId="44D7E193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B1228" w:rsidRPr="001B1228" w14:paraId="0C4620CC" w14:textId="77777777" w:rsidTr="00DD2C93">
        <w:tc>
          <w:tcPr>
            <w:tcW w:w="7020" w:type="dxa"/>
            <w:vAlign w:val="center"/>
          </w:tcPr>
          <w:p w14:paraId="73E9897E" w14:textId="49CFE9EF" w:rsidR="001B1228" w:rsidRPr="001B1228" w:rsidRDefault="001B1228" w:rsidP="005B06CD">
            <w:pPr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Assign clients to specific DDD outlets</w:t>
            </w:r>
          </w:p>
        </w:tc>
        <w:tc>
          <w:tcPr>
            <w:tcW w:w="1350" w:type="dxa"/>
            <w:shd w:val="clear" w:color="auto" w:fill="BACBD9" w:themeFill="accent1" w:themeFillTint="66"/>
            <w:vAlign w:val="center"/>
          </w:tcPr>
          <w:p w14:paraId="614C92AB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73" w:type="dxa"/>
            <w:vAlign w:val="center"/>
          </w:tcPr>
          <w:p w14:paraId="51A3998A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B1228" w:rsidRPr="001B1228" w14:paraId="20E50CCE" w14:textId="77777777" w:rsidTr="00DD2C93">
        <w:tc>
          <w:tcPr>
            <w:tcW w:w="7020" w:type="dxa"/>
            <w:vAlign w:val="center"/>
          </w:tcPr>
          <w:p w14:paraId="7964E788" w14:textId="02E8DEE1" w:rsidR="001B1228" w:rsidRPr="001B1228" w:rsidRDefault="001B1228" w:rsidP="005B06CD">
            <w:pPr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Access list of clients devolved from hub facility to their outlet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F1339CE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BACBD9" w:themeFill="accent1" w:themeFillTint="66"/>
            <w:vAlign w:val="center"/>
          </w:tcPr>
          <w:p w14:paraId="0F9D4ECF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</w:tr>
      <w:tr w:rsidR="001B1228" w:rsidRPr="001B1228" w14:paraId="62A7DCB6" w14:textId="77777777" w:rsidTr="00DD2C93">
        <w:tc>
          <w:tcPr>
            <w:tcW w:w="7020" w:type="dxa"/>
            <w:vAlign w:val="center"/>
          </w:tcPr>
          <w:p w14:paraId="0E28F7C2" w14:textId="78C12269" w:rsidR="001B1228" w:rsidRPr="001B1228" w:rsidRDefault="001B1228" w:rsidP="005B06CD">
            <w:pPr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Keep track of client appointments, including last and next refill date</w:t>
            </w:r>
            <w:r w:rsidR="00F2652C">
              <w:rPr>
                <w:rFonts w:eastAsia="Times New Roman"/>
                <w:color w:val="000000"/>
                <w:sz w:val="24"/>
                <w:szCs w:val="24"/>
              </w:rPr>
              <w:t>s</w:t>
            </w:r>
            <w:r w:rsidRPr="001B1228">
              <w:rPr>
                <w:rFonts w:eastAsia="Times New Roman"/>
                <w:color w:val="000000"/>
                <w:sz w:val="24"/>
                <w:szCs w:val="24"/>
              </w:rPr>
              <w:t>, and last and next viral load appointment date</w:t>
            </w:r>
            <w:r w:rsidR="00F2652C">
              <w:rPr>
                <w:rFonts w:eastAsia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50" w:type="dxa"/>
            <w:shd w:val="clear" w:color="auto" w:fill="BACBD9" w:themeFill="accent1" w:themeFillTint="66"/>
            <w:vAlign w:val="center"/>
          </w:tcPr>
          <w:p w14:paraId="54B57470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73" w:type="dxa"/>
            <w:shd w:val="clear" w:color="auto" w:fill="BACBD9" w:themeFill="accent1" w:themeFillTint="66"/>
            <w:vAlign w:val="center"/>
          </w:tcPr>
          <w:p w14:paraId="5040D7E9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</w:tr>
      <w:tr w:rsidR="001B1228" w:rsidRPr="001B1228" w14:paraId="0E8D865C" w14:textId="77777777" w:rsidTr="00DD2C93">
        <w:tc>
          <w:tcPr>
            <w:tcW w:w="7020" w:type="dxa"/>
            <w:vAlign w:val="center"/>
          </w:tcPr>
          <w:p w14:paraId="5CCB0E81" w14:textId="33E66F3C" w:rsidR="001B1228" w:rsidRPr="001B1228" w:rsidRDefault="001B1228" w:rsidP="005B06CD">
            <w:pPr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Keep track of clients who discontinue service at DDD outlet, including reason for discontinuation</w:t>
            </w:r>
          </w:p>
        </w:tc>
        <w:tc>
          <w:tcPr>
            <w:tcW w:w="1350" w:type="dxa"/>
            <w:shd w:val="clear" w:color="auto" w:fill="BACBD9" w:themeFill="accent1" w:themeFillTint="66"/>
            <w:vAlign w:val="center"/>
          </w:tcPr>
          <w:p w14:paraId="74F84347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73" w:type="dxa"/>
            <w:shd w:val="clear" w:color="auto" w:fill="BACBD9" w:themeFill="accent1" w:themeFillTint="66"/>
            <w:vAlign w:val="center"/>
          </w:tcPr>
          <w:p w14:paraId="7339E184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</w:tr>
      <w:tr w:rsidR="001B1228" w:rsidRPr="001B1228" w14:paraId="58CAE276" w14:textId="77777777" w:rsidTr="00DD2C93">
        <w:tc>
          <w:tcPr>
            <w:tcW w:w="7020" w:type="dxa"/>
            <w:vAlign w:val="center"/>
          </w:tcPr>
          <w:p w14:paraId="66681F35" w14:textId="7D22BDE0" w:rsidR="001B1228" w:rsidRPr="001B1228" w:rsidRDefault="001B1228" w:rsidP="005B06CD">
            <w:pPr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 xml:space="preserve">Conduct </w:t>
            </w:r>
            <w:r w:rsidR="00F2652C">
              <w:rPr>
                <w:rFonts w:eastAsia="Times New Roman"/>
                <w:color w:val="000000"/>
                <w:sz w:val="24"/>
                <w:szCs w:val="24"/>
              </w:rPr>
              <w:t>tuberculosis</w:t>
            </w:r>
            <w:r w:rsidRPr="001B1228">
              <w:rPr>
                <w:rFonts w:eastAsia="Times New Roman"/>
                <w:color w:val="000000"/>
                <w:sz w:val="24"/>
                <w:szCs w:val="24"/>
              </w:rPr>
              <w:t xml:space="preserve"> screening and assess </w:t>
            </w:r>
            <w:r w:rsidR="00F2652C">
              <w:rPr>
                <w:rFonts w:eastAsia="Times New Roman"/>
                <w:color w:val="000000"/>
                <w:sz w:val="24"/>
                <w:szCs w:val="24"/>
              </w:rPr>
              <w:t>antiretroviral therapy (</w:t>
            </w:r>
            <w:r w:rsidRPr="001B1228">
              <w:rPr>
                <w:rFonts w:eastAsia="Times New Roman"/>
                <w:color w:val="000000"/>
                <w:sz w:val="24"/>
                <w:szCs w:val="24"/>
              </w:rPr>
              <w:t>ART</w:t>
            </w:r>
            <w:r w:rsidR="00F2652C"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 w:rsidRPr="001B1228">
              <w:rPr>
                <w:rFonts w:eastAsia="Times New Roman"/>
                <w:color w:val="000000"/>
                <w:sz w:val="24"/>
                <w:szCs w:val="24"/>
              </w:rPr>
              <w:t xml:space="preserve"> adherence/side effects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3821F67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BACBD9" w:themeFill="accent1" w:themeFillTint="66"/>
            <w:vAlign w:val="center"/>
          </w:tcPr>
          <w:p w14:paraId="71FB8283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</w:tr>
      <w:tr w:rsidR="001B1228" w:rsidRPr="001B1228" w14:paraId="71310C02" w14:textId="77777777" w:rsidTr="00DD2C93">
        <w:tc>
          <w:tcPr>
            <w:tcW w:w="7020" w:type="dxa"/>
            <w:vAlign w:val="center"/>
          </w:tcPr>
          <w:p w14:paraId="7A5EA0E8" w14:textId="403F4198" w:rsidR="001B1228" w:rsidRPr="001B1228" w:rsidRDefault="001B1228" w:rsidP="005B06CD">
            <w:pPr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Manage drug dispensation to DDD outlets based on number of clients devolved to a particular outlet and specific ART regimens and other medications clients are taking</w:t>
            </w:r>
          </w:p>
        </w:tc>
        <w:tc>
          <w:tcPr>
            <w:tcW w:w="1350" w:type="dxa"/>
            <w:shd w:val="clear" w:color="auto" w:fill="BACBD9" w:themeFill="accent1" w:themeFillTint="66"/>
            <w:vAlign w:val="center"/>
          </w:tcPr>
          <w:p w14:paraId="1B4FCE88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</w:t>
            </w:r>
            <w:r w:rsidRPr="005B06CD">
              <w:rPr>
                <w:rFonts w:eastAsia="Times New Roman"/>
                <w:color w:val="000000"/>
                <w:sz w:val="24"/>
                <w:szCs w:val="24"/>
                <w:shd w:val="clear" w:color="auto" w:fill="BACBD9" w:themeFill="accent1" w:themeFillTint="66"/>
              </w:rPr>
              <w:t>es</w:t>
            </w:r>
          </w:p>
        </w:tc>
        <w:tc>
          <w:tcPr>
            <w:tcW w:w="1273" w:type="dxa"/>
            <w:vAlign w:val="center"/>
          </w:tcPr>
          <w:p w14:paraId="5FB300C2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B1228" w:rsidRPr="001B1228" w14:paraId="65042657" w14:textId="77777777" w:rsidTr="00DD2C93">
        <w:tc>
          <w:tcPr>
            <w:tcW w:w="7020" w:type="dxa"/>
            <w:vAlign w:val="center"/>
          </w:tcPr>
          <w:p w14:paraId="01A69A66" w14:textId="55C43D62" w:rsidR="001B1228" w:rsidRPr="001B1228" w:rsidRDefault="001B1228" w:rsidP="005B06CD">
            <w:pPr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Manage drug refills and review refill history for each client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F7DDD4B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BACBD9" w:themeFill="accent1" w:themeFillTint="66"/>
            <w:vAlign w:val="center"/>
          </w:tcPr>
          <w:p w14:paraId="4A9F86D3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</w:tr>
      <w:tr w:rsidR="001B1228" w:rsidRPr="001B1228" w14:paraId="15B59EB3" w14:textId="77777777" w:rsidTr="00DD2C93">
        <w:tc>
          <w:tcPr>
            <w:tcW w:w="7020" w:type="dxa"/>
            <w:vAlign w:val="center"/>
          </w:tcPr>
          <w:p w14:paraId="6B3FC1B4" w14:textId="2A496E63" w:rsidR="001B1228" w:rsidRPr="00F42C83" w:rsidRDefault="001B1228" w:rsidP="005B06CD">
            <w:pPr>
              <w:ind w:right="29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42C83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Visualize service delivery data </w:t>
            </w:r>
            <w:r w:rsidR="00DE48DA" w:rsidRPr="00F42C83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in real time </w:t>
            </w:r>
            <w:r w:rsidRPr="00F42C83">
              <w:rPr>
                <w:rFonts w:eastAsia="Times New Roman"/>
                <w:color w:val="000000"/>
                <w:spacing w:val="-4"/>
                <w:sz w:val="24"/>
                <w:szCs w:val="24"/>
              </w:rPr>
              <w:t>for each DDD outlet, including number of clients served and appointment</w:t>
            </w:r>
            <w:r w:rsidR="00F54B75" w:rsidRPr="00F42C83">
              <w:rPr>
                <w:rFonts w:eastAsia="Times New Roman"/>
                <w:color w:val="000000"/>
                <w:spacing w:val="-4"/>
                <w:sz w:val="24"/>
                <w:szCs w:val="24"/>
              </w:rPr>
              <w:t>-</w:t>
            </w:r>
            <w:r w:rsidRPr="00F42C83">
              <w:rPr>
                <w:rFonts w:eastAsia="Times New Roman"/>
                <w:color w:val="000000"/>
                <w:spacing w:val="-4"/>
                <w:sz w:val="24"/>
                <w:szCs w:val="24"/>
              </w:rPr>
              <w:t>keeping rates</w:t>
            </w:r>
          </w:p>
        </w:tc>
        <w:tc>
          <w:tcPr>
            <w:tcW w:w="1350" w:type="dxa"/>
            <w:shd w:val="clear" w:color="auto" w:fill="BACBD9" w:themeFill="accent1" w:themeFillTint="66"/>
            <w:vAlign w:val="center"/>
          </w:tcPr>
          <w:p w14:paraId="07F6F807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73" w:type="dxa"/>
            <w:shd w:val="clear" w:color="auto" w:fill="BACBD9" w:themeFill="accent1" w:themeFillTint="66"/>
            <w:vAlign w:val="center"/>
          </w:tcPr>
          <w:p w14:paraId="2895CBBB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</w:tr>
      <w:tr w:rsidR="001B1228" w:rsidRPr="001B1228" w14:paraId="319BC0FA" w14:textId="77777777" w:rsidTr="00DD2C93">
        <w:tc>
          <w:tcPr>
            <w:tcW w:w="7020" w:type="dxa"/>
            <w:vAlign w:val="center"/>
          </w:tcPr>
          <w:p w14:paraId="739603BA" w14:textId="77777777" w:rsidR="001B1228" w:rsidRPr="001B1228" w:rsidRDefault="001B1228" w:rsidP="005B06CD">
            <w:pPr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Send pre-appointment reminders</w:t>
            </w:r>
          </w:p>
        </w:tc>
        <w:tc>
          <w:tcPr>
            <w:tcW w:w="1350" w:type="dxa"/>
            <w:shd w:val="clear" w:color="auto" w:fill="BACBD9" w:themeFill="accent1" w:themeFillTint="66"/>
            <w:vAlign w:val="center"/>
          </w:tcPr>
          <w:p w14:paraId="5D19FA71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73" w:type="dxa"/>
            <w:shd w:val="clear" w:color="auto" w:fill="BACBD9" w:themeFill="accent1" w:themeFillTint="66"/>
            <w:vAlign w:val="center"/>
          </w:tcPr>
          <w:p w14:paraId="48A9B544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</w:tr>
      <w:tr w:rsidR="001B1228" w:rsidRPr="001B1228" w14:paraId="67B3C926" w14:textId="77777777" w:rsidTr="00DD2C93">
        <w:tc>
          <w:tcPr>
            <w:tcW w:w="7020" w:type="dxa"/>
            <w:vAlign w:val="center"/>
          </w:tcPr>
          <w:p w14:paraId="3F471767" w14:textId="5E1C8EA6" w:rsidR="001B1228" w:rsidRPr="001B1228" w:rsidRDefault="001B1228" w:rsidP="005B06CD">
            <w:pPr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Track clients who miss appointments and send SMS reminders</w:t>
            </w:r>
          </w:p>
        </w:tc>
        <w:tc>
          <w:tcPr>
            <w:tcW w:w="1350" w:type="dxa"/>
            <w:shd w:val="clear" w:color="auto" w:fill="BACBD9" w:themeFill="accent1" w:themeFillTint="66"/>
            <w:vAlign w:val="center"/>
          </w:tcPr>
          <w:p w14:paraId="2559A96E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73" w:type="dxa"/>
            <w:shd w:val="clear" w:color="auto" w:fill="BACBD9" w:themeFill="accent1" w:themeFillTint="66"/>
            <w:vAlign w:val="center"/>
          </w:tcPr>
          <w:p w14:paraId="7BC5A0B9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</w:tr>
      <w:tr w:rsidR="001B1228" w:rsidRPr="001B1228" w14:paraId="4889DD7F" w14:textId="77777777" w:rsidTr="00DD2C93">
        <w:tc>
          <w:tcPr>
            <w:tcW w:w="7020" w:type="dxa"/>
            <w:vAlign w:val="center"/>
          </w:tcPr>
          <w:p w14:paraId="77389F07" w14:textId="1CE9CDD1" w:rsidR="001B1228" w:rsidRPr="001B1228" w:rsidRDefault="001B1228" w:rsidP="005B06CD">
            <w:pPr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 xml:space="preserve">Monitor drug inventory, including drugs requested, received, </w:t>
            </w:r>
            <w:r w:rsidR="00082439">
              <w:rPr>
                <w:rFonts w:eastAsia="Times New Roman"/>
                <w:color w:val="000000"/>
                <w:sz w:val="24"/>
                <w:szCs w:val="24"/>
              </w:rPr>
              <w:t>and</w:t>
            </w:r>
            <w:r w:rsidRPr="001B1228">
              <w:rPr>
                <w:rFonts w:eastAsia="Times New Roman"/>
                <w:color w:val="000000"/>
                <w:sz w:val="24"/>
                <w:szCs w:val="24"/>
              </w:rPr>
              <w:t xml:space="preserve"> dispensed and remaining balance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239C2C8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BACBD9" w:themeFill="accent1" w:themeFillTint="66"/>
            <w:vAlign w:val="center"/>
          </w:tcPr>
          <w:p w14:paraId="0CF25A96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</w:tr>
      <w:tr w:rsidR="001B1228" w:rsidRPr="001B1228" w14:paraId="32452CFE" w14:textId="77777777" w:rsidTr="00DD2C93">
        <w:tc>
          <w:tcPr>
            <w:tcW w:w="7020" w:type="dxa"/>
            <w:vAlign w:val="center"/>
          </w:tcPr>
          <w:p w14:paraId="6C032308" w14:textId="4760F477" w:rsidR="001B1228" w:rsidRPr="001B1228" w:rsidRDefault="001B1228" w:rsidP="005B06CD">
            <w:pPr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Send drug requests to hub facility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F63D833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BACBD9" w:themeFill="accent1" w:themeFillTint="66"/>
            <w:vAlign w:val="center"/>
          </w:tcPr>
          <w:p w14:paraId="446A04C1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</w:tr>
      <w:tr w:rsidR="001B1228" w:rsidRPr="001B1228" w14:paraId="22F84011" w14:textId="77777777" w:rsidTr="00DD2C93">
        <w:tc>
          <w:tcPr>
            <w:tcW w:w="7020" w:type="dxa"/>
            <w:vAlign w:val="center"/>
          </w:tcPr>
          <w:p w14:paraId="22DBCDB0" w14:textId="5E2E733C" w:rsidR="001B1228" w:rsidRPr="001B1228" w:rsidRDefault="001B1228" w:rsidP="005B06CD">
            <w:pPr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 xml:space="preserve">Monitor relevant activities in each DDD outlet by generating monthly report forms with key indicators, including (but not limited to) number of clients devolved to the outlet during </w:t>
            </w:r>
            <w:r w:rsidR="00082439">
              <w:rPr>
                <w:rFonts w:eastAsia="Times New Roman"/>
                <w:color w:val="000000"/>
                <w:sz w:val="24"/>
                <w:szCs w:val="24"/>
              </w:rPr>
              <w:t>that</w:t>
            </w:r>
            <w:r w:rsidRPr="001B1228">
              <w:rPr>
                <w:rFonts w:eastAsia="Times New Roman"/>
                <w:color w:val="000000"/>
                <w:sz w:val="24"/>
                <w:szCs w:val="24"/>
              </w:rPr>
              <w:t xml:space="preserve"> month, number of clients who received a refill, number of clients who defaulted, and number of clients </w:t>
            </w:r>
            <w:proofErr w:type="gramStart"/>
            <w:r w:rsidRPr="001B1228">
              <w:rPr>
                <w:rFonts w:eastAsia="Times New Roman"/>
                <w:color w:val="000000"/>
                <w:sz w:val="24"/>
                <w:szCs w:val="24"/>
              </w:rPr>
              <w:t>referred back</w:t>
            </w:r>
            <w:proofErr w:type="gramEnd"/>
            <w:r w:rsidRPr="001B1228">
              <w:rPr>
                <w:rFonts w:eastAsia="Times New Roman"/>
                <w:color w:val="000000"/>
                <w:sz w:val="24"/>
                <w:szCs w:val="24"/>
              </w:rPr>
              <w:t xml:space="preserve"> to the facility</w:t>
            </w:r>
          </w:p>
        </w:tc>
        <w:tc>
          <w:tcPr>
            <w:tcW w:w="1350" w:type="dxa"/>
            <w:shd w:val="clear" w:color="auto" w:fill="BACBD9" w:themeFill="accent1" w:themeFillTint="66"/>
            <w:vAlign w:val="center"/>
          </w:tcPr>
          <w:p w14:paraId="656EA25E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6057CA49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B1228" w:rsidRPr="001B1228" w14:paraId="2F86CBDB" w14:textId="77777777" w:rsidTr="00DD2C93">
        <w:tc>
          <w:tcPr>
            <w:tcW w:w="7020" w:type="dxa"/>
            <w:vAlign w:val="center"/>
          </w:tcPr>
          <w:p w14:paraId="28BE9515" w14:textId="64B20F42" w:rsidR="001B1228" w:rsidRPr="001B1228" w:rsidRDefault="001B1228" w:rsidP="005B06CD">
            <w:pPr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 xml:space="preserve">Generate </w:t>
            </w:r>
            <w:r w:rsidR="00082439">
              <w:rPr>
                <w:rFonts w:eastAsia="Times New Roman"/>
                <w:color w:val="000000"/>
                <w:sz w:val="24"/>
                <w:szCs w:val="24"/>
              </w:rPr>
              <w:t>n</w:t>
            </w:r>
            <w:r w:rsidRPr="001B1228">
              <w:rPr>
                <w:rFonts w:eastAsia="Times New Roman"/>
                <w:color w:val="000000"/>
                <w:sz w:val="24"/>
                <w:szCs w:val="24"/>
              </w:rPr>
              <w:t xml:space="preserve">ational and/or PEPFAR monthly summary reports </w:t>
            </w:r>
            <w:r w:rsidR="00082439">
              <w:rPr>
                <w:rFonts w:eastAsia="Times New Roman"/>
                <w:color w:val="000000"/>
                <w:sz w:val="24"/>
                <w:szCs w:val="24"/>
              </w:rPr>
              <w:t>including</w:t>
            </w:r>
            <w:r w:rsidRPr="001B1228">
              <w:rPr>
                <w:rFonts w:eastAsia="Times New Roman"/>
                <w:color w:val="000000"/>
                <w:sz w:val="24"/>
                <w:szCs w:val="24"/>
              </w:rPr>
              <w:t xml:space="preserve"> relevant key indicators</w:t>
            </w:r>
          </w:p>
        </w:tc>
        <w:tc>
          <w:tcPr>
            <w:tcW w:w="1350" w:type="dxa"/>
            <w:shd w:val="clear" w:color="auto" w:fill="BACBD9" w:themeFill="accent1" w:themeFillTint="66"/>
            <w:vAlign w:val="center"/>
          </w:tcPr>
          <w:p w14:paraId="326A165B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73" w:type="dxa"/>
            <w:shd w:val="clear" w:color="auto" w:fill="BACBD9" w:themeFill="accent1" w:themeFillTint="66"/>
            <w:vAlign w:val="center"/>
          </w:tcPr>
          <w:p w14:paraId="2AE85EBA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</w:tr>
      <w:tr w:rsidR="001B1228" w:rsidRPr="001B1228" w14:paraId="68F85F1C" w14:textId="77777777" w:rsidTr="00DD2C93">
        <w:tc>
          <w:tcPr>
            <w:tcW w:w="7020" w:type="dxa"/>
            <w:vAlign w:val="center"/>
          </w:tcPr>
          <w:p w14:paraId="61475292" w14:textId="5B9C8707" w:rsidR="001B1228" w:rsidRPr="001B1228" w:rsidRDefault="001B1228" w:rsidP="005B06CD">
            <w:pPr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 xml:space="preserve">Synchronize data with </w:t>
            </w:r>
            <w:r w:rsidR="00082439">
              <w:rPr>
                <w:rFonts w:eastAsia="Times New Roman"/>
                <w:color w:val="000000"/>
                <w:sz w:val="24"/>
                <w:szCs w:val="24"/>
              </w:rPr>
              <w:t xml:space="preserve">the </w:t>
            </w:r>
            <w:r w:rsidRPr="001B1228">
              <w:rPr>
                <w:rFonts w:eastAsia="Times New Roman"/>
                <w:color w:val="000000"/>
                <w:sz w:val="24"/>
                <w:szCs w:val="24"/>
              </w:rPr>
              <w:t>server</w:t>
            </w:r>
          </w:p>
        </w:tc>
        <w:tc>
          <w:tcPr>
            <w:tcW w:w="1350" w:type="dxa"/>
            <w:shd w:val="clear" w:color="auto" w:fill="BACBD9" w:themeFill="accent1" w:themeFillTint="66"/>
            <w:vAlign w:val="center"/>
          </w:tcPr>
          <w:p w14:paraId="083785DB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73" w:type="dxa"/>
            <w:shd w:val="clear" w:color="auto" w:fill="BACBD9" w:themeFill="accent1" w:themeFillTint="66"/>
            <w:vAlign w:val="center"/>
          </w:tcPr>
          <w:p w14:paraId="5516DBBA" w14:textId="77777777" w:rsidR="001B1228" w:rsidRPr="001B1228" w:rsidRDefault="001B1228" w:rsidP="005B06CD">
            <w:pPr>
              <w:ind w:right="2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1228">
              <w:rPr>
                <w:rFonts w:eastAsia="Times New Roman"/>
                <w:color w:val="000000"/>
                <w:sz w:val="24"/>
                <w:szCs w:val="24"/>
              </w:rPr>
              <w:t>Yes</w:t>
            </w:r>
          </w:p>
        </w:tc>
      </w:tr>
    </w:tbl>
    <w:p w14:paraId="544CF47A" w14:textId="4DC07E48" w:rsidR="001B1228" w:rsidRDefault="001B1228" w:rsidP="00DD2C93"/>
    <w:sectPr w:rsidR="001B1228" w:rsidSect="009A1F79">
      <w:footerReference w:type="default" r:id="rId9"/>
      <w:pgSz w:w="12240" w:h="15840"/>
      <w:pgMar w:top="1296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BDB7" w14:textId="77777777" w:rsidR="00E93346" w:rsidRDefault="00E93346" w:rsidP="004A354A">
      <w:pPr>
        <w:spacing w:after="0" w:line="240" w:lineRule="auto"/>
      </w:pPr>
      <w:r>
        <w:separator/>
      </w:r>
    </w:p>
  </w:endnote>
  <w:endnote w:type="continuationSeparator" w:id="0">
    <w:p w14:paraId="71E7AC13" w14:textId="77777777" w:rsidR="00E93346" w:rsidRDefault="00E93346" w:rsidP="004A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20E8" w14:textId="03896605" w:rsidR="004A354A" w:rsidRPr="004A354A" w:rsidRDefault="004A354A">
    <w:pPr>
      <w:pStyle w:val="Footer"/>
      <w:rPr>
        <w:sz w:val="20"/>
        <w:szCs w:val="20"/>
      </w:rPr>
    </w:pPr>
    <w:r w:rsidRPr="00567ABA">
      <w:rPr>
        <w:sz w:val="20"/>
        <w:szCs w:val="20"/>
      </w:rPr>
      <w:t xml:space="preserve">Decentralized Drug Distribution of Antiretroviral Therapy in the Private Sector—Session </w:t>
    </w:r>
    <w:r>
      <w:rPr>
        <w:sz w:val="20"/>
        <w:szCs w:val="20"/>
      </w:rPr>
      <w:t>8, Handou</w:t>
    </w:r>
    <w:r w:rsidR="00DD2C93">
      <w:rPr>
        <w:sz w:val="20"/>
        <w:szCs w:val="20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F905" w14:textId="77777777" w:rsidR="00E93346" w:rsidRDefault="00E93346" w:rsidP="004A354A">
      <w:pPr>
        <w:spacing w:after="0" w:line="240" w:lineRule="auto"/>
      </w:pPr>
      <w:r>
        <w:separator/>
      </w:r>
    </w:p>
  </w:footnote>
  <w:footnote w:type="continuationSeparator" w:id="0">
    <w:p w14:paraId="6B828393" w14:textId="77777777" w:rsidR="00E93346" w:rsidRDefault="00E93346" w:rsidP="004A3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28"/>
    <w:rsid w:val="000461A7"/>
    <w:rsid w:val="00082439"/>
    <w:rsid w:val="001B1228"/>
    <w:rsid w:val="003B3439"/>
    <w:rsid w:val="004A354A"/>
    <w:rsid w:val="005B06CD"/>
    <w:rsid w:val="00643901"/>
    <w:rsid w:val="006479B2"/>
    <w:rsid w:val="00974C7A"/>
    <w:rsid w:val="009A1F79"/>
    <w:rsid w:val="00A726D5"/>
    <w:rsid w:val="00C3513E"/>
    <w:rsid w:val="00DD2C93"/>
    <w:rsid w:val="00DE48DA"/>
    <w:rsid w:val="00E759E6"/>
    <w:rsid w:val="00E93346"/>
    <w:rsid w:val="00F2652C"/>
    <w:rsid w:val="00F3635A"/>
    <w:rsid w:val="00F42C83"/>
    <w:rsid w:val="00F5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2C7A"/>
  <w15:chartTrackingRefBased/>
  <w15:docId w15:val="{C91B7E18-6B20-41DA-85DB-CABD4D08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15E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15E7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228"/>
    <w:pPr>
      <w:spacing w:after="0" w:line="240" w:lineRule="auto"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A1F79"/>
    <w:rPr>
      <w:rFonts w:asciiTheme="majorHAnsi" w:eastAsiaTheme="majorEastAsia" w:hAnsiTheme="majorHAnsi" w:cstheme="majorBidi"/>
      <w:color w:val="415E7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1F79"/>
    <w:rPr>
      <w:rFonts w:asciiTheme="majorHAnsi" w:eastAsiaTheme="majorEastAsia" w:hAnsiTheme="majorHAnsi" w:cstheme="majorBidi"/>
      <w:color w:val="415E7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F36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35A"/>
  </w:style>
  <w:style w:type="paragraph" w:styleId="Header">
    <w:name w:val="header"/>
    <w:basedOn w:val="Normal"/>
    <w:link w:val="HeaderChar"/>
    <w:uiPriority w:val="99"/>
    <w:unhideWhenUsed/>
    <w:rsid w:val="004A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e1EpiC">
  <a:themeElements>
    <a:clrScheme name="EpiC chart color option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77F9F"/>
      </a:accent1>
      <a:accent2>
        <a:srgbClr val="10244D"/>
      </a:accent2>
      <a:accent3>
        <a:srgbClr val="DDEAF6"/>
      </a:accent3>
      <a:accent4>
        <a:srgbClr val="E63339"/>
      </a:accent4>
      <a:accent5>
        <a:srgbClr val="BCBBC0"/>
      </a:accent5>
      <a:accent6>
        <a:srgbClr val="919194"/>
      </a:accent6>
      <a:hlink>
        <a:srgbClr val="E63339"/>
      </a:hlink>
      <a:folHlink>
        <a:srgbClr val="577F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EpiC" id="{D8B133F9-8889-4DEA-9FDD-BA9A4625C8B1}" vid="{4A40793F-5A3D-4280-A8EA-37036BA5A5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A0D9DFEA7E94D83B062B2820FBDD9" ma:contentTypeVersion="12" ma:contentTypeDescription="Create a new document." ma:contentTypeScope="" ma:versionID="cca63be9f599698ac806259150e4ed0f">
  <xsd:schema xmlns:xsd="http://www.w3.org/2001/XMLSchema" xmlns:xs="http://www.w3.org/2001/XMLSchema" xmlns:p="http://schemas.microsoft.com/office/2006/metadata/properties" xmlns:ns2="2d51870d-230e-40c3-a0cc-f8073ac490ee" xmlns:ns3="b0dfa122-c670-4093-b813-ee989e2b14db" targetNamespace="http://schemas.microsoft.com/office/2006/metadata/properties" ma:root="true" ma:fieldsID="a2b738417ee05158be9161ae2d7af56e" ns2:_="" ns3:_="">
    <xsd:import namespace="2d51870d-230e-40c3-a0cc-f8073ac490ee"/>
    <xsd:import namespace="b0dfa122-c670-4093-b813-ee989e2b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870d-230e-40c3-a0cc-f8073ac49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a122-c670-4093-b813-ee989e2b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D4F51-FAF1-480B-9544-283747C20E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DD76A8-DA09-4E31-AEEB-10D51A9A5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D9F54-2A18-45D4-8534-BB52D025DF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241</Words>
  <Characters>1522</Characters>
  <Application>Microsoft Office Word</Application>
  <DocSecurity>0</DocSecurity>
  <Lines>32</Lines>
  <Paragraphs>8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Yacobson</dc:creator>
  <cp:keywords/>
  <dc:description/>
  <cp:lastModifiedBy>Lucy Harber</cp:lastModifiedBy>
  <cp:revision>9</cp:revision>
  <dcterms:created xsi:type="dcterms:W3CDTF">2021-05-28T21:05:00Z</dcterms:created>
  <dcterms:modified xsi:type="dcterms:W3CDTF">2021-05-28T22:02:00Z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0x010100DADA0D9DFEA7E94D83B062B2820FBDD9</vt:lpwstr>
  </property>
</Properties>
</file>