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2738" w14:textId="433BFAEA" w:rsidR="00741951" w:rsidRPr="009319CA" w:rsidRDefault="001F4D26">
      <w:r>
        <w:rPr>
          <w:noProof/>
        </w:rPr>
        <w:drawing>
          <wp:inline distT="0" distB="0" distL="0" distR="0" wp14:anchorId="6F15B20E" wp14:editId="35DE23DD">
            <wp:extent cx="7898867" cy="5905500"/>
            <wp:effectExtent l="0" t="0" r="6985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9215" cy="592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951" w:rsidRPr="009319CA" w:rsidSect="0061612D">
      <w:headerReference w:type="default" r:id="rId10"/>
      <w:footerReference w:type="default" r:id="rId11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4B59" w14:textId="77777777" w:rsidR="000D1D98" w:rsidRDefault="000D1D98" w:rsidP="0061612D">
      <w:pPr>
        <w:spacing w:after="0" w:line="240" w:lineRule="auto"/>
      </w:pPr>
      <w:r>
        <w:separator/>
      </w:r>
    </w:p>
  </w:endnote>
  <w:endnote w:type="continuationSeparator" w:id="0">
    <w:p w14:paraId="46319462" w14:textId="77777777" w:rsidR="000D1D98" w:rsidRDefault="000D1D98" w:rsidP="0061612D">
      <w:pPr>
        <w:spacing w:after="0" w:line="240" w:lineRule="auto"/>
      </w:pPr>
      <w:r>
        <w:continuationSeparator/>
      </w:r>
    </w:p>
  </w:endnote>
  <w:endnote w:type="continuationNotice" w:id="1">
    <w:p w14:paraId="2BA8F09D" w14:textId="77777777" w:rsidR="000D1D98" w:rsidRDefault="000D1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1E00" w14:textId="62E7AF1D" w:rsidR="00AE4F0A" w:rsidRPr="00567ABA" w:rsidRDefault="00AE4F0A" w:rsidP="00AE4F0A">
    <w:pPr>
      <w:pStyle w:val="Footer"/>
      <w:rPr>
        <w:sz w:val="20"/>
        <w:szCs w:val="20"/>
      </w:rPr>
    </w:pPr>
    <w:r w:rsidRPr="00567ABA">
      <w:rPr>
        <w:sz w:val="20"/>
        <w:szCs w:val="20"/>
      </w:rPr>
      <w:t xml:space="preserve">Decentralized Drug Distribution of Antiretroviral Therapy in the Private Sector—Session </w:t>
    </w:r>
    <w:r w:rsidR="0066175D">
      <w:rPr>
        <w:sz w:val="20"/>
        <w:szCs w:val="20"/>
      </w:rPr>
      <w:t>6,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AE03" w14:textId="77777777" w:rsidR="000D1D98" w:rsidRDefault="000D1D98" w:rsidP="0061612D">
      <w:pPr>
        <w:spacing w:after="0" w:line="240" w:lineRule="auto"/>
      </w:pPr>
      <w:r>
        <w:separator/>
      </w:r>
    </w:p>
  </w:footnote>
  <w:footnote w:type="continuationSeparator" w:id="0">
    <w:p w14:paraId="22A99A16" w14:textId="77777777" w:rsidR="000D1D98" w:rsidRDefault="000D1D98" w:rsidP="0061612D">
      <w:pPr>
        <w:spacing w:after="0" w:line="240" w:lineRule="auto"/>
      </w:pPr>
      <w:r>
        <w:continuationSeparator/>
      </w:r>
    </w:p>
  </w:footnote>
  <w:footnote w:type="continuationNotice" w:id="1">
    <w:p w14:paraId="2889A1E2" w14:textId="77777777" w:rsidR="000D1D98" w:rsidRDefault="000D1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B801F6B" w14:paraId="4F1FBFC1" w14:textId="77777777" w:rsidTr="3B801F6B">
      <w:tc>
        <w:tcPr>
          <w:tcW w:w="4320" w:type="dxa"/>
        </w:tcPr>
        <w:p w14:paraId="2DC94C80" w14:textId="6F00241B" w:rsidR="3B801F6B" w:rsidRDefault="3B801F6B" w:rsidP="3B801F6B">
          <w:pPr>
            <w:pStyle w:val="Header"/>
            <w:ind w:left="-115"/>
          </w:pPr>
        </w:p>
      </w:tc>
      <w:tc>
        <w:tcPr>
          <w:tcW w:w="4320" w:type="dxa"/>
        </w:tcPr>
        <w:p w14:paraId="34771731" w14:textId="6FCE3A31" w:rsidR="3B801F6B" w:rsidRDefault="3B801F6B" w:rsidP="3B801F6B">
          <w:pPr>
            <w:pStyle w:val="Header"/>
            <w:jc w:val="center"/>
          </w:pPr>
        </w:p>
      </w:tc>
      <w:tc>
        <w:tcPr>
          <w:tcW w:w="4320" w:type="dxa"/>
        </w:tcPr>
        <w:p w14:paraId="5BD54769" w14:textId="788AF047" w:rsidR="3B801F6B" w:rsidRDefault="3B801F6B" w:rsidP="3B801F6B">
          <w:pPr>
            <w:pStyle w:val="Header"/>
            <w:ind w:right="-115"/>
            <w:jc w:val="right"/>
          </w:pPr>
        </w:p>
      </w:tc>
    </w:tr>
  </w:tbl>
  <w:p w14:paraId="3EC25D14" w14:textId="77777777" w:rsidR="001F4D26" w:rsidRDefault="001F4D26" w:rsidP="001F4D26">
    <w:pPr>
      <w:pStyle w:val="Heading1"/>
      <w:spacing w:before="0" w:after="240"/>
    </w:pPr>
    <w:r>
      <w:t>Illustrative p</w:t>
    </w:r>
    <w:r w:rsidRPr="5D8F52A0">
      <w:t>athway for enrolling clinically stable patients into DDD of ART models</w:t>
    </w:r>
  </w:p>
  <w:p w14:paraId="7F3C0F6C" w14:textId="3D493CE8" w:rsidR="00187C60" w:rsidRDefault="00187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51"/>
    <w:rsid w:val="000461A7"/>
    <w:rsid w:val="000D1D98"/>
    <w:rsid w:val="00187C60"/>
    <w:rsid w:val="001E5F58"/>
    <w:rsid w:val="001F4D26"/>
    <w:rsid w:val="00206E43"/>
    <w:rsid w:val="003B3439"/>
    <w:rsid w:val="005B77AB"/>
    <w:rsid w:val="0061612D"/>
    <w:rsid w:val="0066175D"/>
    <w:rsid w:val="006F56E6"/>
    <w:rsid w:val="00741951"/>
    <w:rsid w:val="00824D5E"/>
    <w:rsid w:val="00845067"/>
    <w:rsid w:val="009319CA"/>
    <w:rsid w:val="00974C7A"/>
    <w:rsid w:val="00AE4F0A"/>
    <w:rsid w:val="00C70A6A"/>
    <w:rsid w:val="00C8210D"/>
    <w:rsid w:val="00CB00AB"/>
    <w:rsid w:val="00EF20CD"/>
    <w:rsid w:val="00F91EF9"/>
    <w:rsid w:val="1896D104"/>
    <w:rsid w:val="2657DE0F"/>
    <w:rsid w:val="3B801F6B"/>
    <w:rsid w:val="5D8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FDBD"/>
  <w15:chartTrackingRefBased/>
  <w15:docId w15:val="{D96023CB-F591-44CF-9827-75862E16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5E7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8210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210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19CA"/>
    <w:rPr>
      <w:rFonts w:asciiTheme="majorHAnsi" w:eastAsiaTheme="majorEastAsia" w:hAnsiTheme="majorHAnsi" w:cstheme="majorBidi"/>
      <w:color w:val="415E7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2D"/>
  </w:style>
  <w:style w:type="paragraph" w:styleId="Footer">
    <w:name w:val="footer"/>
    <w:basedOn w:val="Normal"/>
    <w:link w:val="FooterChar"/>
    <w:uiPriority w:val="99"/>
    <w:unhideWhenUsed/>
    <w:rsid w:val="0061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2D"/>
  </w:style>
  <w:style w:type="table" w:styleId="TableGrid">
    <w:name w:val="Table Grid"/>
    <w:basedOn w:val="TableNormal"/>
    <w:uiPriority w:val="59"/>
    <w:rsid w:val="00187C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EpiC">
  <a:themeElements>
    <a:clrScheme name="EpiC chart color option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7F9F"/>
      </a:accent1>
      <a:accent2>
        <a:srgbClr val="10244D"/>
      </a:accent2>
      <a:accent3>
        <a:srgbClr val="DDEAF6"/>
      </a:accent3>
      <a:accent4>
        <a:srgbClr val="E63339"/>
      </a:accent4>
      <a:accent5>
        <a:srgbClr val="BCBBC0"/>
      </a:accent5>
      <a:accent6>
        <a:srgbClr val="919194"/>
      </a:accent6>
      <a:hlink>
        <a:srgbClr val="E63339"/>
      </a:hlink>
      <a:folHlink>
        <a:srgbClr val="577F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EpiC" id="{D8B133F9-8889-4DEA-9FDD-BA9A4625C8B1}" vid="{4A40793F-5A3D-4280-A8EA-37036BA5A5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28A05-5132-4768-B7ED-A74117C31395}"/>
</file>

<file path=customXml/itemProps2.xml><?xml version="1.0" encoding="utf-8"?>
<ds:datastoreItem xmlns:ds="http://schemas.openxmlformats.org/officeDocument/2006/customXml" ds:itemID="{CA8B1B52-BFA3-4025-9271-F66E00CD6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D644D-7CD4-4771-8A1A-04C9759E5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10</cp:revision>
  <dcterms:created xsi:type="dcterms:W3CDTF">2021-05-26T15:45:00Z</dcterms:created>
  <dcterms:modified xsi:type="dcterms:W3CDTF">2021-06-07T16:34:00Z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